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FC4B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bookmarkStart w:id="0" w:name="_GoBack"/>
      <w:r>
        <w:rPr>
          <w:rFonts w:ascii="黑体" w:hAnsi="宋体" w:eastAsia="黑体" w:cs="黑体"/>
          <w:sz w:val="28"/>
          <w:szCs w:val="28"/>
          <w:bdr w:val="none" w:color="auto" w:sz="0" w:space="0"/>
        </w:rPr>
        <w:t>陕西省建设工程消耗量定额及计价解释（五）</w:t>
      </w:r>
    </w:p>
    <w:bookmarkEnd w:id="0"/>
    <w:p w14:paraId="595B31B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 w14:paraId="559D7B1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bdr w:val="none" w:color="auto" w:sz="0" w:space="0"/>
        </w:rPr>
        <w:t>一、2004年《陕西省建筑装饰工程消耗量定额》</w:t>
      </w:r>
    </w:p>
    <w:p w14:paraId="563B520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bdr w:val="none" w:color="auto" w:sz="0" w:space="0"/>
        </w:rPr>
        <w:t>1.10-1430定额中未含腻子，腻子施工需要单独计算。</w:t>
      </w:r>
    </w:p>
    <w:p w14:paraId="2E3260D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bdr w:val="none" w:color="auto" w:sz="0" w:space="0"/>
        </w:rPr>
        <w:t>2.措施费费率中“冬季施工费”包含规范范围内的冬季施工措施，额外增加的措施应依据发生的实际情况，另行计取费用。</w:t>
      </w:r>
    </w:p>
    <w:p w14:paraId="2882D97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bdr w:val="none" w:color="auto" w:sz="0" w:space="0"/>
        </w:rPr>
        <w:t>3.钢筋笼后插筋混凝土灌注桩不适用螺旋钻机成孔或中心压灌式CFG桩子目。实际发生时，应依据现场情况，自行补充消耗量定额。</w:t>
      </w:r>
    </w:p>
    <w:p w14:paraId="794F78C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bdr w:val="none" w:color="auto" w:sz="0" w:space="0"/>
        </w:rPr>
        <w:t>二、2004年《陕西省市政工程消耗量定额》</w:t>
      </w:r>
    </w:p>
    <w:p w14:paraId="18DDDE9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bdr w:val="none" w:color="auto" w:sz="0" w:space="0"/>
        </w:rPr>
        <w:t>1.使用商品混凝土时，应按规定扣除相应人工、搅拌机费用，其他不扣除，商品混凝土单价按照双方确认价格计算。</w:t>
      </w:r>
    </w:p>
    <w:p w14:paraId="1271A73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bdr w:val="none" w:color="auto" w:sz="0" w:space="0"/>
        </w:rPr>
        <w:t>2.10-119至10-126子目中均不包含通风机运行费用，其费用按照实际发生记取。</w:t>
      </w:r>
    </w:p>
    <w:p w14:paraId="197AD6E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bdr w:val="none" w:color="auto" w:sz="0" w:space="0"/>
        </w:rPr>
        <w:t>3.钢板桩的使用费5元/(t·d)为基期价格，实际施工中应按双方确认的租赁市场价格调整计取。</w:t>
      </w:r>
    </w:p>
    <w:p w14:paraId="7E57C31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bdr w:val="none" w:color="auto" w:sz="0" w:space="0"/>
        </w:rPr>
        <w:t>4.措施工程中临时护栏应根据实际合围的长度以延长米计算。</w:t>
      </w:r>
    </w:p>
    <w:p w14:paraId="416DD1A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bdr w:val="none" w:color="auto" w:sz="0" w:space="0"/>
        </w:rPr>
        <w:t>5.基坑支护的架子费用可参照《陕西省建设工程消耗量定额》（2004）补充定额P31页说明第5条记取。</w:t>
      </w:r>
    </w:p>
    <w:p w14:paraId="18C3623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bdr w:val="none" w:color="auto" w:sz="0" w:space="0"/>
        </w:rPr>
        <w:t>6.4-403、4-405大型支撑安装定额不包括支撑材料的使用费，应另行计算；大型支撑材料使用费=设计使用量×使用天数×使用费标准[元/（吨·天）]。</w:t>
      </w:r>
    </w:p>
    <w:p w14:paraId="0CBCA8E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bdr w:val="none" w:color="auto" w:sz="0" w:space="0"/>
        </w:rPr>
        <w:t>7. 4-395至402子目中，深度是指开挖面到槽坑底的总深度，宽度是指基坑两侧内壁中的最大宽度。</w:t>
      </w:r>
    </w:p>
    <w:p w14:paraId="3562976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bdr w:val="none" w:color="auto" w:sz="0" w:space="0"/>
        </w:rPr>
        <w:t>8.沥青混凝土中备注了“若使用改性沥青，每吨基价增加65.09元，其中人工费2.42元，SBS材料46.58元，机械费16.09元”；若使用了成品改性沥青混合料时，则不再计取此增加费用。</w:t>
      </w:r>
    </w:p>
    <w:p w14:paraId="2A6C64F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rPr>
          <w:rFonts w:hint="eastAsia" w:ascii="仿宋_GB2312" w:hAnsi="仿宋_GB2312" w:eastAsia="仿宋_GB2312" w:cs="仿宋_GB2312"/>
          <w:sz w:val="30"/>
          <w:szCs w:val="30"/>
          <w:bdr w:val="none" w:color="auto" w:sz="0" w:space="0"/>
        </w:rPr>
      </w:pPr>
      <w:r>
        <w:rPr>
          <w:rFonts w:hint="eastAsia" w:ascii="仿宋_GB2312" w:hAnsi="仿宋_GB2312" w:eastAsia="仿宋_GB2312" w:cs="仿宋_GB2312"/>
          <w:sz w:val="30"/>
          <w:szCs w:val="30"/>
          <w:bdr w:val="none" w:color="auto" w:sz="0" w:space="0"/>
        </w:rPr>
        <w:t>9.大口径井点降水超过25m时，对应的消耗量应予以增加；可以参照15m以内和25m以内深度的定额消耗量水平，自行补充调整消耗量。</w:t>
      </w:r>
    </w:p>
    <w:p w14:paraId="0E19F3B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rPr>
          <w:rFonts w:hint="eastAsia" w:ascii="仿宋_GB2312" w:hAnsi="仿宋_GB2312" w:eastAsia="仿宋_GB2312" w:cs="仿宋_GB2312"/>
          <w:sz w:val="30"/>
          <w:szCs w:val="30"/>
          <w:bdr w:val="none" w:color="auto" w:sz="0" w:space="0"/>
        </w:rPr>
      </w:pPr>
    </w:p>
    <w:p w14:paraId="50FD181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rPr>
          <w:rFonts w:hint="eastAsia" w:ascii="仿宋_GB2312" w:hAnsi="仿宋_GB2312" w:eastAsia="仿宋_GB2312" w:cs="仿宋_GB2312"/>
          <w:sz w:val="30"/>
          <w:szCs w:val="30"/>
          <w:bdr w:val="none" w:color="auto" w:sz="0" w:space="0"/>
        </w:rPr>
      </w:pPr>
    </w:p>
    <w:p w14:paraId="414CAD7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rPr>
          <w:rFonts w:hint="eastAsia" w:ascii="仿宋_GB2312" w:hAnsi="仿宋_GB2312" w:eastAsia="仿宋_GB2312" w:cs="仿宋_GB2312"/>
          <w:sz w:val="30"/>
          <w:szCs w:val="30"/>
          <w:bdr w:val="none" w:color="auto" w:sz="0" w:space="0"/>
        </w:rPr>
      </w:pPr>
    </w:p>
    <w:p w14:paraId="48B135C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right"/>
        <w:rPr>
          <w:rFonts w:hint="eastAsia" w:ascii="仿宋_GB2312" w:hAnsi="仿宋_GB2312" w:eastAsia="仿宋_GB2312" w:cs="仿宋_GB2312"/>
          <w:sz w:val="30"/>
          <w:szCs w:val="30"/>
          <w:bdr w:val="none" w:color="auto" w:sz="0" w:space="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bdr w:val="none" w:color="auto" w:sz="0" w:space="0"/>
          <w:lang w:eastAsia="zh-CN"/>
        </w:rPr>
        <w:t>陕西省建设工程造价服务中心</w:t>
      </w:r>
    </w:p>
    <w:p w14:paraId="67A7652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right"/>
        <w:rPr>
          <w:rFonts w:hint="default" w:ascii="仿宋_GB2312" w:hAnsi="仿宋_GB2312" w:eastAsia="仿宋_GB2312" w:cs="仿宋_GB2312"/>
          <w:sz w:val="30"/>
          <w:szCs w:val="30"/>
          <w:bdr w:val="none" w:color="auto" w:sz="0" w:space="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bdr w:val="none" w:color="auto" w:sz="0" w:space="0"/>
          <w:lang w:val="en-US" w:eastAsia="zh-CN"/>
        </w:rPr>
        <w:t>2023年7月28日</w:t>
      </w:r>
    </w:p>
    <w:p w14:paraId="20EA600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仿宋_GB2312" w:hAnsi="仿宋_GB2312" w:eastAsia="仿宋_GB2312" w:cs="仿宋_GB2312"/>
          <w:sz w:val="30"/>
          <w:szCs w:val="30"/>
        </w:rPr>
      </w:pPr>
    </w:p>
    <w:p w14:paraId="43144125">
      <w:pPr>
        <w:rPr>
          <w:rFonts w:hint="eastAsia" w:ascii="仿宋_GB2312" w:hAnsi="仿宋_GB2312" w:eastAsia="仿宋_GB2312" w:cs="仿宋_GB2312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5572C1"/>
    <w:rsid w:val="698C0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2025-04-27T02:54:25Z</dcterms:created>
  <dc:creator>Lenovo</dc:creator>
  <cp:lastModifiedBy>✨ Shining</cp:lastModifiedBy>
  <dcterms:modified xsi:type="dcterms:W3CDTF">2025-04-27T02:55:43Z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eyJoZGlkIjoiYjc2NWEwMjRmYmI3MTJlYWJkYzVjYzIzNjczZDVjYTMiLCJ1c2VySWQiOiIyNDI1OTI2MDAifQ==</vt:lpwstr>
  </property>
  <property fmtid="{D5CDD505-2E9C-101B-9397-08002B2CF9AE}" pid="4" name="ICV">
    <vt:lpwstr>6A06090FA9C2420CB01E3C0BF10E40CE_12</vt:lpwstr>
  </property>
</Properties>
</file>